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1.200103759765625" w:right="-6.400146484375" w:firstLine="2.8799438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report with graphs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Metrics of BJB Autonomous College, Bhubaneswar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the data, the information can be used to generate a visual representation of the metrics.  Here's how the report will look: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455078125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Metrics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Publications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Citations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Access Publications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h-Index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Scopus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of Science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Scholar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ResearchGate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4.543151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20068359375" w:line="240" w:lineRule="auto"/>
        <w:ind w:left="6.480102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Institutional Research Metrics Table: B.J.B Autonomous College, Bhubaneswar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3193359375" w:line="279.8880100250244" w:lineRule="auto"/>
        <w:ind w:left="47.27996826171875" w:right="428.9202880859375" w:firstLine="287.76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 Total Publications Total Citations Open Access Publications h-Index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30 160 - 4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of Science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23 129 - 4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Scholar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200 2,500 60 18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ResearchGate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180 2,000 55 17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75 600 20 10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315185546875" w:line="240" w:lineRule="auto"/>
        <w:ind w:left="8.16009521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Graphs for these metrics: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300048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177155" cy="36892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3689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1727.0199584960938" w:top="1423.199462890625" w:left="1440" w:right="1379.95971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